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sz w:val="36"/>
          <w:szCs w:val="36"/>
        </w:rPr>
      </w:pPr>
      <w:r>
        <w:rPr>
          <w:rFonts w:hint="eastAsia" w:ascii="方正小标宋简体" w:eastAsia="方正小标宋简体"/>
          <w:bCs/>
          <w:sz w:val="36"/>
          <w:szCs w:val="36"/>
        </w:rPr>
        <w:t>安徽省非中医类别医师学习中医2年期培训大纲</w:t>
      </w:r>
    </w:p>
    <w:p>
      <w:pPr>
        <w:rPr>
          <w:rFonts w:ascii="仿宋" w:hAnsi="仿宋" w:eastAsia="仿宋"/>
          <w:b/>
          <w:sz w:val="30"/>
          <w:szCs w:val="30"/>
        </w:rPr>
      </w:pPr>
    </w:p>
    <w:p>
      <w:pPr>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一、培养目标</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以提高培训对象的中医药服务能力为目标，培训对象通过系统地学习中医基础理论、基本知识和基本技能，结合已有的现代医学知识、技能和临床经验，能遵照中医临床基本的辨证施治原则开具中成药处方和中药饮片处方；能运用常用中医药适宜技术对常见病进行诊疗。</w:t>
      </w:r>
    </w:p>
    <w:p>
      <w:pPr>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二、培训对象</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全省医疗机构中非中医类别执业（助理）医师。</w:t>
      </w:r>
    </w:p>
    <w:p>
      <w:pPr>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三、培训时间和形式</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培训时间为2年，采用集中授课、网络课程与自主学习、临床跟师实践相结合的方式。累计理论学习时间不少于850学时。</w:t>
      </w:r>
    </w:p>
    <w:p>
      <w:pPr>
        <w:ind w:firstLine="643" w:firstLineChars="200"/>
        <w:rPr>
          <w:rFonts w:hint="eastAsia" w:ascii="仿宋_GB2312" w:hAnsi="黑体" w:eastAsia="仿宋_GB2312"/>
          <w:b/>
          <w:sz w:val="32"/>
          <w:szCs w:val="32"/>
        </w:rPr>
      </w:pPr>
      <w:r>
        <w:rPr>
          <w:rFonts w:hint="eastAsia" w:ascii="仿宋_GB2312" w:hAnsi="黑体" w:eastAsia="仿宋_GB2312"/>
          <w:b/>
          <w:sz w:val="32"/>
          <w:szCs w:val="32"/>
        </w:rPr>
        <w:t>四、课程设置及学时安排</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（一）课程设置与要求</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1.中医基础理论：讲授中医基础理论知识，培养中医思维方法，为学习中医诊断学、中药学、方剂学打下必要的基础。</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2.中医诊断学：讲授中医诊法和辨证的基本理论，初步训练诊法、辨证和病历书写。</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3.中药学：讲授中药性味、功效、配伍关系等中药学基本理论，能对常用中药进行正确辨识。</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4.方剂学：讲授中医方剂的组方原则、方义及配伍特点等基本理论，熟悉方剂与治法的关系及常用中成药的使用知识。</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5.医古文：讲授文选和基础知识，掌握中医古文常用词汇，具备一定的有关中医古文词汇、句式、标点、今译等方面的知识，为自主阅读和研究中医古籍打下基础。</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6.中医内科学：讲授各脏腑病机、辨证特点，治疗原则和常用治法等内科基础理论知识，掌握中医内科常见病、多发病的病因、病机、辨证施治、处方用药规律和临床治疗技术，并基本掌握内科疑难病的中医治疗原则和处理。</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7. 中医外科学：讲授中医外科的基本理论，重点讲授外科常见病的辨证论治基本知识和手术治疗基本技能。</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8.中医妇科学：讲授妇女特有的解剖与生理特点，重点讲授妇科常见病、多发病的辨证论治的基本技能。</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9.中医儿科学：讲授小儿的生理、病理特点，重点讲授儿科常见病、多发病辨证论治的基本技能。</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10.针灸学：讲授经络腧穴的基本知识，常用穴位的定位和主治规律，刺法、灸法的基本理论知识，掌握针灸手法的基本技能和临床应用。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11.推拿学：讲授推拿基本理论及常用手法，常见病的推拿按摩疗法。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12.中医骨伤科学：讲授中医骨伤科学基本原理，重点讲授各种骨折的诊断、整复手法及固定，各种关节脱位的治疗手法及骨关节病的治疗。</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13.中成药学：讲授中成药的基本知识及常用中成药的处方、制法、功能主治、临床应用、用法与用量、规格、其他剂型、使用注意、不良反应及药理作用等内容。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14.中医药适宜技术：讲授中医药适宜技术的分类、方法、用法及常见病的中医药适宜技术诊疗方法。</w:t>
      </w:r>
    </w:p>
    <w:p>
      <w:pPr>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15.中医经典专题讲座：开展中医四大经典专题讲座。</w:t>
      </w:r>
    </w:p>
    <w:p>
      <w:pPr>
        <w:spacing w:line="360" w:lineRule="auto"/>
        <w:ind w:firstLine="482" w:firstLineChars="150"/>
        <w:jc w:val="left"/>
        <w:rPr>
          <w:rFonts w:hint="eastAsia" w:ascii="仿宋_GB2312" w:hAnsi="仿宋" w:eastAsia="仿宋_GB2312"/>
          <w:b/>
          <w:sz w:val="32"/>
          <w:szCs w:val="32"/>
        </w:rPr>
      </w:pPr>
      <w:r>
        <w:rPr>
          <w:rFonts w:hint="eastAsia" w:ascii="仿宋_GB2312" w:hAnsi="仿宋" w:eastAsia="仿宋_GB2312"/>
          <w:b/>
          <w:sz w:val="32"/>
          <w:szCs w:val="32"/>
        </w:rPr>
        <w:t>（二）学时安排</w:t>
      </w:r>
    </w:p>
    <w:tbl>
      <w:tblPr>
        <w:tblStyle w:val="5"/>
        <w:tblW w:w="873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361"/>
        <w:gridCol w:w="1100"/>
        <w:gridCol w:w="1050"/>
        <w:gridCol w:w="1834"/>
        <w:gridCol w:w="85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序号</w:t>
            </w:r>
          </w:p>
        </w:tc>
        <w:tc>
          <w:tcPr>
            <w:tcW w:w="2361" w:type="dxa"/>
            <w:vMerge w:val="restart"/>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课程名称</w:t>
            </w:r>
          </w:p>
        </w:tc>
        <w:tc>
          <w:tcPr>
            <w:tcW w:w="1100" w:type="dxa"/>
            <w:vMerge w:val="restart"/>
            <w:vAlign w:val="center"/>
          </w:tcPr>
          <w:p>
            <w:pPr>
              <w:spacing w:line="360" w:lineRule="auto"/>
              <w:ind w:firstLine="160" w:firstLineChars="50"/>
              <w:jc w:val="center"/>
              <w:rPr>
                <w:rFonts w:hint="eastAsia" w:ascii="仿宋_GB2312" w:hAnsi="仿宋" w:eastAsia="仿宋_GB2312"/>
                <w:sz w:val="32"/>
                <w:szCs w:val="32"/>
              </w:rPr>
            </w:pPr>
            <w:r>
              <w:rPr>
                <w:rFonts w:hint="eastAsia" w:ascii="仿宋_GB2312" w:hAnsi="仿宋" w:eastAsia="仿宋_GB2312"/>
                <w:sz w:val="32"/>
                <w:szCs w:val="32"/>
              </w:rPr>
              <w:t>总学时数</w:t>
            </w:r>
          </w:p>
        </w:tc>
        <w:tc>
          <w:tcPr>
            <w:tcW w:w="1050" w:type="dxa"/>
            <w:vMerge w:val="restart"/>
            <w:vAlign w:val="center"/>
          </w:tcPr>
          <w:p>
            <w:pPr>
              <w:spacing w:line="360" w:lineRule="auto"/>
              <w:ind w:firstLine="160" w:firstLineChars="50"/>
              <w:jc w:val="center"/>
              <w:rPr>
                <w:rFonts w:hint="eastAsia" w:ascii="仿宋_GB2312" w:hAnsi="仿宋" w:eastAsia="仿宋_GB2312"/>
                <w:sz w:val="32"/>
                <w:szCs w:val="32"/>
              </w:rPr>
            </w:pPr>
            <w:r>
              <w:rPr>
                <w:rFonts w:hint="eastAsia" w:ascii="仿宋_GB2312" w:hAnsi="仿宋" w:eastAsia="仿宋_GB2312"/>
                <w:sz w:val="32"/>
                <w:szCs w:val="32"/>
              </w:rPr>
              <w:t>面授时数</w:t>
            </w:r>
          </w:p>
        </w:tc>
        <w:tc>
          <w:tcPr>
            <w:tcW w:w="1834" w:type="dxa"/>
            <w:vMerge w:val="restart"/>
            <w:vAlign w:val="center"/>
          </w:tcPr>
          <w:p>
            <w:pPr>
              <w:spacing w:line="360" w:lineRule="auto"/>
              <w:ind w:firstLine="160" w:firstLineChars="50"/>
              <w:jc w:val="center"/>
              <w:rPr>
                <w:rFonts w:hint="eastAsia" w:ascii="仿宋_GB2312" w:hAnsi="仿宋" w:eastAsia="仿宋_GB2312"/>
                <w:sz w:val="32"/>
                <w:szCs w:val="32"/>
              </w:rPr>
            </w:pPr>
            <w:r>
              <w:rPr>
                <w:rFonts w:hint="eastAsia" w:ascii="仿宋_GB2312" w:hAnsi="仿宋" w:eastAsia="仿宋_GB2312"/>
                <w:sz w:val="32"/>
                <w:szCs w:val="32"/>
              </w:rPr>
              <w:t>线上网络学习及自主学习时数</w:t>
            </w:r>
          </w:p>
        </w:tc>
        <w:tc>
          <w:tcPr>
            <w:tcW w:w="1683" w:type="dxa"/>
            <w:gridSpan w:val="2"/>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开设学年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hint="eastAsia" w:ascii="仿宋_GB2312" w:hAnsi="仿宋" w:eastAsia="仿宋_GB2312"/>
                <w:sz w:val="32"/>
                <w:szCs w:val="32"/>
              </w:rPr>
            </w:pPr>
          </w:p>
        </w:tc>
        <w:tc>
          <w:tcPr>
            <w:tcW w:w="2361" w:type="dxa"/>
            <w:vMerge w:val="continue"/>
            <w:vAlign w:val="center"/>
          </w:tcPr>
          <w:p>
            <w:pPr>
              <w:spacing w:line="360" w:lineRule="auto"/>
              <w:jc w:val="center"/>
              <w:rPr>
                <w:rFonts w:hint="eastAsia" w:ascii="仿宋_GB2312" w:hAnsi="仿宋" w:eastAsia="仿宋_GB2312"/>
                <w:sz w:val="32"/>
                <w:szCs w:val="32"/>
              </w:rPr>
            </w:pPr>
          </w:p>
        </w:tc>
        <w:tc>
          <w:tcPr>
            <w:tcW w:w="1100" w:type="dxa"/>
            <w:vMerge w:val="continue"/>
            <w:vAlign w:val="center"/>
          </w:tcPr>
          <w:p>
            <w:pPr>
              <w:spacing w:line="360" w:lineRule="auto"/>
              <w:jc w:val="center"/>
              <w:rPr>
                <w:rFonts w:hint="eastAsia" w:ascii="仿宋_GB2312" w:hAnsi="仿宋" w:eastAsia="仿宋_GB2312"/>
                <w:sz w:val="32"/>
                <w:szCs w:val="32"/>
              </w:rPr>
            </w:pPr>
          </w:p>
        </w:tc>
        <w:tc>
          <w:tcPr>
            <w:tcW w:w="1050" w:type="dxa"/>
            <w:vMerge w:val="continue"/>
            <w:vAlign w:val="center"/>
          </w:tcPr>
          <w:p>
            <w:pPr>
              <w:spacing w:line="360" w:lineRule="auto"/>
              <w:jc w:val="center"/>
              <w:rPr>
                <w:rFonts w:hint="eastAsia" w:ascii="仿宋_GB2312" w:hAnsi="仿宋" w:eastAsia="仿宋_GB2312"/>
                <w:sz w:val="32"/>
                <w:szCs w:val="32"/>
              </w:rPr>
            </w:pPr>
          </w:p>
        </w:tc>
        <w:tc>
          <w:tcPr>
            <w:tcW w:w="1834" w:type="dxa"/>
            <w:vMerge w:val="continue"/>
            <w:vAlign w:val="center"/>
          </w:tcPr>
          <w:p>
            <w:pPr>
              <w:spacing w:line="360" w:lineRule="auto"/>
              <w:jc w:val="center"/>
              <w:rPr>
                <w:rFonts w:hint="eastAsia" w:ascii="仿宋_GB2312" w:hAnsi="仿宋" w:eastAsia="仿宋_GB2312"/>
                <w:sz w:val="32"/>
                <w:szCs w:val="32"/>
              </w:rPr>
            </w:pPr>
          </w:p>
        </w:tc>
        <w:tc>
          <w:tcPr>
            <w:tcW w:w="8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一</w:t>
            </w:r>
          </w:p>
        </w:tc>
        <w:tc>
          <w:tcPr>
            <w:tcW w:w="833"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中医基础理论</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80</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40</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40</w:t>
            </w:r>
          </w:p>
        </w:tc>
        <w:tc>
          <w:tcPr>
            <w:tcW w:w="8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c>
          <w:tcPr>
            <w:tcW w:w="833" w:type="dxa"/>
            <w:vAlign w:val="center"/>
          </w:tcPr>
          <w:p>
            <w:pPr>
              <w:spacing w:line="360" w:lineRule="auto"/>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2</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中医诊断学</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72</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36</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36</w:t>
            </w:r>
          </w:p>
        </w:tc>
        <w:tc>
          <w:tcPr>
            <w:tcW w:w="8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c>
          <w:tcPr>
            <w:tcW w:w="833" w:type="dxa"/>
            <w:vAlign w:val="center"/>
          </w:tcPr>
          <w:p>
            <w:pPr>
              <w:spacing w:line="360" w:lineRule="auto"/>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3</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中药学</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96</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48</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48</w:t>
            </w:r>
          </w:p>
        </w:tc>
        <w:tc>
          <w:tcPr>
            <w:tcW w:w="8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c>
          <w:tcPr>
            <w:tcW w:w="833" w:type="dxa"/>
            <w:vAlign w:val="center"/>
          </w:tcPr>
          <w:p>
            <w:pPr>
              <w:spacing w:line="360" w:lineRule="auto"/>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方剂学</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96</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48</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48</w:t>
            </w:r>
          </w:p>
        </w:tc>
        <w:tc>
          <w:tcPr>
            <w:tcW w:w="8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c>
          <w:tcPr>
            <w:tcW w:w="833" w:type="dxa"/>
            <w:vAlign w:val="center"/>
          </w:tcPr>
          <w:p>
            <w:pPr>
              <w:spacing w:line="360" w:lineRule="auto"/>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5</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医古文</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56</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28</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28</w:t>
            </w:r>
          </w:p>
        </w:tc>
        <w:tc>
          <w:tcPr>
            <w:tcW w:w="8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c>
          <w:tcPr>
            <w:tcW w:w="833" w:type="dxa"/>
            <w:vAlign w:val="center"/>
          </w:tcPr>
          <w:p>
            <w:pPr>
              <w:spacing w:line="360" w:lineRule="auto"/>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6</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中医内科学</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96</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48</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48</w:t>
            </w:r>
          </w:p>
        </w:tc>
        <w:tc>
          <w:tcPr>
            <w:tcW w:w="8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c>
          <w:tcPr>
            <w:tcW w:w="833" w:type="dxa"/>
            <w:vAlign w:val="center"/>
          </w:tcPr>
          <w:p>
            <w:pPr>
              <w:spacing w:line="360" w:lineRule="auto"/>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7</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中医外科学</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40</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20</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20</w:t>
            </w:r>
          </w:p>
        </w:tc>
        <w:tc>
          <w:tcPr>
            <w:tcW w:w="850" w:type="dxa"/>
            <w:vAlign w:val="center"/>
          </w:tcPr>
          <w:p>
            <w:pPr>
              <w:spacing w:line="360" w:lineRule="auto"/>
              <w:jc w:val="center"/>
              <w:rPr>
                <w:rFonts w:hint="eastAsia" w:ascii="仿宋_GB2312" w:hAnsi="仿宋" w:eastAsia="仿宋_GB2312"/>
                <w:sz w:val="32"/>
                <w:szCs w:val="32"/>
              </w:rPr>
            </w:pPr>
          </w:p>
        </w:tc>
        <w:tc>
          <w:tcPr>
            <w:tcW w:w="833"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8</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中医妇科学</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40</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20</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20</w:t>
            </w:r>
          </w:p>
        </w:tc>
        <w:tc>
          <w:tcPr>
            <w:tcW w:w="850" w:type="dxa"/>
            <w:vAlign w:val="center"/>
          </w:tcPr>
          <w:p>
            <w:pPr>
              <w:spacing w:line="360" w:lineRule="auto"/>
              <w:jc w:val="center"/>
              <w:rPr>
                <w:rFonts w:hint="eastAsia" w:ascii="仿宋_GB2312" w:hAnsi="仿宋" w:eastAsia="仿宋_GB2312"/>
                <w:sz w:val="32"/>
                <w:szCs w:val="32"/>
              </w:rPr>
            </w:pPr>
          </w:p>
        </w:tc>
        <w:tc>
          <w:tcPr>
            <w:tcW w:w="833"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9</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中医儿科学</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32</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16</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16</w:t>
            </w:r>
          </w:p>
        </w:tc>
        <w:tc>
          <w:tcPr>
            <w:tcW w:w="850" w:type="dxa"/>
            <w:vAlign w:val="center"/>
          </w:tcPr>
          <w:p>
            <w:pPr>
              <w:spacing w:line="360" w:lineRule="auto"/>
              <w:jc w:val="center"/>
              <w:rPr>
                <w:rFonts w:hint="eastAsia" w:ascii="仿宋_GB2312" w:hAnsi="仿宋" w:eastAsia="仿宋_GB2312"/>
                <w:sz w:val="32"/>
                <w:szCs w:val="32"/>
              </w:rPr>
            </w:pPr>
          </w:p>
        </w:tc>
        <w:tc>
          <w:tcPr>
            <w:tcW w:w="833"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10</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针灸学</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80</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40</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40</w:t>
            </w:r>
          </w:p>
        </w:tc>
        <w:tc>
          <w:tcPr>
            <w:tcW w:w="8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c>
          <w:tcPr>
            <w:tcW w:w="833" w:type="dxa"/>
            <w:vAlign w:val="center"/>
          </w:tcPr>
          <w:p>
            <w:pPr>
              <w:spacing w:line="360" w:lineRule="auto"/>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11</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推拿学</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32</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16</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16</w:t>
            </w:r>
          </w:p>
        </w:tc>
        <w:tc>
          <w:tcPr>
            <w:tcW w:w="850" w:type="dxa"/>
            <w:vAlign w:val="center"/>
          </w:tcPr>
          <w:p>
            <w:pPr>
              <w:spacing w:line="360" w:lineRule="auto"/>
              <w:jc w:val="center"/>
              <w:rPr>
                <w:rFonts w:hint="eastAsia" w:ascii="仿宋_GB2312" w:hAnsi="仿宋" w:eastAsia="仿宋_GB2312"/>
                <w:sz w:val="32"/>
                <w:szCs w:val="32"/>
              </w:rPr>
            </w:pPr>
          </w:p>
        </w:tc>
        <w:tc>
          <w:tcPr>
            <w:tcW w:w="833"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12</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中医骨伤科学</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40</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20</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20</w:t>
            </w:r>
          </w:p>
        </w:tc>
        <w:tc>
          <w:tcPr>
            <w:tcW w:w="8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c>
          <w:tcPr>
            <w:tcW w:w="833" w:type="dxa"/>
            <w:vAlign w:val="center"/>
          </w:tcPr>
          <w:p>
            <w:pPr>
              <w:spacing w:line="360" w:lineRule="auto"/>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13</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中成药学</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32</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16</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16</w:t>
            </w:r>
          </w:p>
        </w:tc>
        <w:tc>
          <w:tcPr>
            <w:tcW w:w="850" w:type="dxa"/>
            <w:vAlign w:val="center"/>
          </w:tcPr>
          <w:p>
            <w:pPr>
              <w:spacing w:line="360" w:lineRule="auto"/>
              <w:jc w:val="center"/>
              <w:rPr>
                <w:rFonts w:hint="eastAsia" w:ascii="仿宋_GB2312" w:hAnsi="仿宋" w:eastAsia="仿宋_GB2312"/>
                <w:sz w:val="32"/>
                <w:szCs w:val="32"/>
              </w:rPr>
            </w:pPr>
          </w:p>
        </w:tc>
        <w:tc>
          <w:tcPr>
            <w:tcW w:w="833"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14</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中医药适宜技术</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24</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12</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12</w:t>
            </w:r>
          </w:p>
        </w:tc>
        <w:tc>
          <w:tcPr>
            <w:tcW w:w="850" w:type="dxa"/>
            <w:vAlign w:val="center"/>
          </w:tcPr>
          <w:p>
            <w:pPr>
              <w:spacing w:line="360" w:lineRule="auto"/>
              <w:jc w:val="center"/>
              <w:rPr>
                <w:rFonts w:hint="eastAsia" w:ascii="仿宋_GB2312" w:hAnsi="仿宋" w:eastAsia="仿宋_GB2312"/>
                <w:sz w:val="32"/>
                <w:szCs w:val="32"/>
              </w:rPr>
            </w:pPr>
          </w:p>
        </w:tc>
        <w:tc>
          <w:tcPr>
            <w:tcW w:w="833"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15</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中医经典专题讲座</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40</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40</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0</w:t>
            </w:r>
          </w:p>
        </w:tc>
        <w:tc>
          <w:tcPr>
            <w:tcW w:w="850" w:type="dxa"/>
            <w:vAlign w:val="center"/>
          </w:tcPr>
          <w:p>
            <w:pPr>
              <w:spacing w:line="360" w:lineRule="auto"/>
              <w:jc w:val="center"/>
              <w:rPr>
                <w:rFonts w:hint="eastAsia" w:ascii="仿宋_GB2312" w:hAnsi="仿宋" w:eastAsia="仿宋_GB2312"/>
                <w:sz w:val="32"/>
                <w:szCs w:val="32"/>
              </w:rPr>
            </w:pPr>
          </w:p>
        </w:tc>
        <w:tc>
          <w:tcPr>
            <w:tcW w:w="833"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16</w:t>
            </w:r>
          </w:p>
        </w:tc>
        <w:tc>
          <w:tcPr>
            <w:tcW w:w="2361" w:type="dxa"/>
            <w:vAlign w:val="center"/>
          </w:tcPr>
          <w:p>
            <w:p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临床实践</w:t>
            </w:r>
          </w:p>
        </w:tc>
        <w:tc>
          <w:tcPr>
            <w:tcW w:w="1100" w:type="dxa"/>
            <w:vAlign w:val="center"/>
          </w:tcPr>
          <w:p>
            <w:pPr>
              <w:spacing w:line="360" w:lineRule="auto"/>
              <w:jc w:val="center"/>
              <w:rPr>
                <w:rFonts w:hint="eastAsia" w:ascii="仿宋_GB2312" w:hAnsi="仿宋" w:eastAsia="仿宋_GB2312"/>
                <w:sz w:val="32"/>
                <w:szCs w:val="32"/>
              </w:rPr>
            </w:pPr>
          </w:p>
        </w:tc>
        <w:tc>
          <w:tcPr>
            <w:tcW w:w="1050" w:type="dxa"/>
            <w:vAlign w:val="center"/>
          </w:tcPr>
          <w:p>
            <w:pPr>
              <w:spacing w:line="360" w:lineRule="auto"/>
              <w:jc w:val="center"/>
              <w:rPr>
                <w:rFonts w:hint="eastAsia" w:ascii="仿宋_GB2312" w:hAnsi="仿宋" w:eastAsia="仿宋_GB2312"/>
                <w:sz w:val="32"/>
                <w:szCs w:val="32"/>
              </w:rPr>
            </w:pPr>
          </w:p>
        </w:tc>
        <w:tc>
          <w:tcPr>
            <w:tcW w:w="1834" w:type="dxa"/>
            <w:vAlign w:val="center"/>
          </w:tcPr>
          <w:p>
            <w:pPr>
              <w:spacing w:line="360" w:lineRule="auto"/>
              <w:jc w:val="center"/>
              <w:rPr>
                <w:rFonts w:hint="eastAsia" w:ascii="仿宋_GB2312" w:hAnsi="仿宋" w:eastAsia="仿宋_GB2312"/>
                <w:sz w:val="32"/>
                <w:szCs w:val="32"/>
              </w:rPr>
            </w:pPr>
          </w:p>
        </w:tc>
        <w:tc>
          <w:tcPr>
            <w:tcW w:w="850" w:type="dxa"/>
            <w:vAlign w:val="center"/>
          </w:tcPr>
          <w:p>
            <w:pPr>
              <w:spacing w:line="360" w:lineRule="auto"/>
              <w:jc w:val="center"/>
              <w:rPr>
                <w:rFonts w:hint="eastAsia" w:ascii="仿宋_GB2312" w:hAnsi="仿宋" w:eastAsia="仿宋_GB2312"/>
                <w:sz w:val="32"/>
                <w:szCs w:val="32"/>
              </w:rPr>
            </w:pPr>
          </w:p>
        </w:tc>
        <w:tc>
          <w:tcPr>
            <w:tcW w:w="833"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仿宋_GB2312" w:hAnsi="仿宋" w:eastAsia="仿宋_GB2312"/>
                <w:sz w:val="32"/>
                <w:szCs w:val="32"/>
              </w:rPr>
            </w:pPr>
          </w:p>
        </w:tc>
        <w:tc>
          <w:tcPr>
            <w:tcW w:w="2361"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合计</w:t>
            </w:r>
          </w:p>
        </w:tc>
        <w:tc>
          <w:tcPr>
            <w:tcW w:w="110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856</w:t>
            </w:r>
          </w:p>
        </w:tc>
        <w:tc>
          <w:tcPr>
            <w:tcW w:w="1050"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448</w:t>
            </w:r>
          </w:p>
        </w:tc>
        <w:tc>
          <w:tcPr>
            <w:tcW w:w="1834" w:type="dxa"/>
            <w:vAlign w:val="center"/>
          </w:tcPr>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408</w:t>
            </w:r>
          </w:p>
        </w:tc>
        <w:tc>
          <w:tcPr>
            <w:tcW w:w="850" w:type="dxa"/>
            <w:vAlign w:val="center"/>
          </w:tcPr>
          <w:p>
            <w:pPr>
              <w:spacing w:line="360" w:lineRule="auto"/>
              <w:jc w:val="center"/>
              <w:rPr>
                <w:rFonts w:hint="eastAsia" w:ascii="仿宋_GB2312" w:hAnsi="仿宋" w:eastAsia="仿宋_GB2312"/>
                <w:sz w:val="32"/>
                <w:szCs w:val="32"/>
              </w:rPr>
            </w:pPr>
          </w:p>
        </w:tc>
        <w:tc>
          <w:tcPr>
            <w:tcW w:w="833" w:type="dxa"/>
            <w:vAlign w:val="center"/>
          </w:tcPr>
          <w:p>
            <w:pPr>
              <w:spacing w:line="360" w:lineRule="auto"/>
              <w:jc w:val="center"/>
              <w:rPr>
                <w:rFonts w:hint="eastAsia" w:ascii="仿宋_GB2312" w:hAnsi="仿宋" w:eastAsia="仿宋_GB2312"/>
                <w:sz w:val="32"/>
                <w:szCs w:val="32"/>
              </w:rPr>
            </w:pPr>
          </w:p>
        </w:tc>
      </w:tr>
    </w:tbl>
    <w:p>
      <w:pPr>
        <w:ind w:firstLine="482" w:firstLineChars="150"/>
        <w:rPr>
          <w:rFonts w:hint="eastAsia" w:ascii="仿宋_GB2312" w:hAnsi="黑体" w:eastAsia="仿宋_GB2312"/>
          <w:b/>
          <w:sz w:val="32"/>
          <w:szCs w:val="32"/>
        </w:rPr>
      </w:pPr>
      <w:r>
        <w:rPr>
          <w:rFonts w:hint="eastAsia" w:ascii="仿宋_GB2312" w:hAnsi="黑体" w:eastAsia="仿宋_GB2312"/>
          <w:b/>
          <w:sz w:val="32"/>
          <w:szCs w:val="32"/>
        </w:rPr>
        <w:t>五、临床实践</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临床实践以进修方式进行，门诊跟师为主，实践带教单位为三级中医医院。实践内容包括中医内科和其他临床学科一门（根据学员自身情况任选），累计时间不少于8周，要求完成跟师学习笔记或学习心得10篇。</w:t>
      </w:r>
    </w:p>
    <w:p>
      <w:pPr>
        <w:ind w:firstLine="643" w:firstLineChars="200"/>
        <w:rPr>
          <w:rFonts w:hint="eastAsia" w:ascii="仿宋_GB2312" w:hAnsi="黑体" w:eastAsia="仿宋_GB2312"/>
          <w:b/>
          <w:sz w:val="32"/>
          <w:szCs w:val="32"/>
        </w:rPr>
      </w:pPr>
      <w:r>
        <w:rPr>
          <w:rFonts w:hint="eastAsia" w:ascii="仿宋_GB2312" w:hAnsi="黑体" w:eastAsia="仿宋_GB2312"/>
          <w:b/>
          <w:sz w:val="32"/>
          <w:szCs w:val="32"/>
        </w:rPr>
        <w:t>六、教材</w:t>
      </w:r>
    </w:p>
    <w:p>
      <w:pPr>
        <w:ind w:firstLine="555"/>
        <w:rPr>
          <w:rFonts w:hint="eastAsia" w:ascii="仿宋_GB2312" w:hAnsi="仿宋" w:eastAsia="仿宋_GB2312"/>
          <w:sz w:val="32"/>
          <w:szCs w:val="32"/>
        </w:rPr>
      </w:pPr>
      <w:r>
        <w:rPr>
          <w:rFonts w:hint="eastAsia" w:ascii="仿宋_GB2312" w:hAnsi="仿宋" w:eastAsia="仿宋_GB2312"/>
          <w:sz w:val="32"/>
          <w:szCs w:val="32"/>
        </w:rPr>
        <w:t>采用全国高等中医药院校成人教育统编教材或普通高等教育中医药院校规划教材。</w:t>
      </w:r>
    </w:p>
    <w:p>
      <w:pPr>
        <w:spacing w:line="52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七、考核</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培训中设置的各门课程、各主要培养环节，均要考试考核。</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理论学习每门课程结束后均由理论培训单位组织考试，成绩以百分制评定，其中网络课程学习和作业占40%，考试占60%。成绩不及格者，准许补考1次，成绩按60分计。考试成绩由培训单位存档备查。</w:t>
      </w:r>
    </w:p>
    <w:p>
      <w:pPr>
        <w:spacing w:line="360" w:lineRule="auto"/>
        <w:ind w:firstLine="540"/>
        <w:rPr>
          <w:rFonts w:hint="eastAsia" w:ascii="仿宋_GB2312" w:hAnsi="仿宋" w:eastAsia="仿宋_GB2312"/>
          <w:sz w:val="32"/>
          <w:szCs w:val="32"/>
        </w:rPr>
      </w:pPr>
      <w:r>
        <w:rPr>
          <w:rFonts w:hint="eastAsia" w:ascii="仿宋_GB2312" w:hAnsi="仿宋" w:eastAsia="仿宋_GB2312"/>
          <w:sz w:val="32"/>
          <w:szCs w:val="32"/>
        </w:rPr>
        <w:t>临床实践考核由实践带教单位组织，对培训对象的出勤情况、基本理论、基本技能掌握情况，及跟师笔记或学习心得完成情况等进行考核，并按优、良、及格、不及格评定实践成绩。实践期间无故缺勤累计达四分之一以上者为不及格。</w:t>
      </w:r>
    </w:p>
    <w:p>
      <w:pPr>
        <w:spacing w:line="360" w:lineRule="auto"/>
        <w:ind w:firstLine="540"/>
        <w:rPr>
          <w:rFonts w:hint="eastAsia" w:ascii="仿宋_GB2312" w:hAnsi="仿宋" w:eastAsia="仿宋_GB2312"/>
          <w:sz w:val="32"/>
          <w:szCs w:val="32"/>
        </w:rPr>
      </w:pPr>
      <w:r>
        <w:rPr>
          <w:rFonts w:hint="eastAsia" w:ascii="仿宋_GB2312" w:hAnsi="仿宋" w:eastAsia="仿宋_GB2312"/>
          <w:sz w:val="32"/>
          <w:szCs w:val="32"/>
        </w:rPr>
        <w:t>培训期满且所有考试考核合格者，由培训单位颁发培训合格证书。</w:t>
      </w:r>
    </w:p>
    <w:p>
      <w:pPr>
        <w:spacing w:line="360" w:lineRule="auto"/>
        <w:ind w:firstLine="643" w:firstLineChars="200"/>
        <w:jc w:val="left"/>
        <w:rPr>
          <w:rFonts w:hint="eastAsia" w:ascii="仿宋_GB2312" w:hAnsi="黑体" w:eastAsia="仿宋_GB2312"/>
          <w:b/>
          <w:sz w:val="32"/>
          <w:szCs w:val="32"/>
        </w:rPr>
      </w:pPr>
      <w:r>
        <w:rPr>
          <w:rFonts w:hint="eastAsia" w:ascii="仿宋_GB2312" w:hAnsi="黑体" w:eastAsia="仿宋_GB2312"/>
          <w:b/>
          <w:sz w:val="32"/>
          <w:szCs w:val="32"/>
        </w:rPr>
        <w:t>八、相关培训衔接</w:t>
      </w:r>
    </w:p>
    <w:p>
      <w:pPr>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已参加1年期非中医类别医师学习中医培训并取得培训合格证书人员，如申请2年期培训，须参加所申请培训单位组织的综合理论考试，考试合格者，中医基础理论、中医诊断学、中药学、方剂学、中成药学和中医药适宜技术六门课免修，临床实践需补足相关科室实践时间，其他要求按照2年期培训大纲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FjYzdhM2MwMmI1YzY3MzhmYzNmN2I0MTcxMGY3ODYifQ=="/>
  </w:docVars>
  <w:rsids>
    <w:rsidRoot w:val="007B555B"/>
    <w:rsid w:val="000128F7"/>
    <w:rsid w:val="0002289C"/>
    <w:rsid w:val="00034BC8"/>
    <w:rsid w:val="0006388F"/>
    <w:rsid w:val="0007732F"/>
    <w:rsid w:val="00087AD0"/>
    <w:rsid w:val="000929FC"/>
    <w:rsid w:val="00093B50"/>
    <w:rsid w:val="000F40D5"/>
    <w:rsid w:val="00106C00"/>
    <w:rsid w:val="00115186"/>
    <w:rsid w:val="00131E39"/>
    <w:rsid w:val="00147C55"/>
    <w:rsid w:val="00156B76"/>
    <w:rsid w:val="0016418E"/>
    <w:rsid w:val="0018505A"/>
    <w:rsid w:val="00195D4D"/>
    <w:rsid w:val="001B6709"/>
    <w:rsid w:val="001B7058"/>
    <w:rsid w:val="001D699B"/>
    <w:rsid w:val="00201BB0"/>
    <w:rsid w:val="002166A4"/>
    <w:rsid w:val="0023415F"/>
    <w:rsid w:val="0024197F"/>
    <w:rsid w:val="00277761"/>
    <w:rsid w:val="00287AE9"/>
    <w:rsid w:val="002923F3"/>
    <w:rsid w:val="00305CCD"/>
    <w:rsid w:val="003205F3"/>
    <w:rsid w:val="003221A9"/>
    <w:rsid w:val="00327462"/>
    <w:rsid w:val="00327F19"/>
    <w:rsid w:val="0036420D"/>
    <w:rsid w:val="00374FF0"/>
    <w:rsid w:val="0039308F"/>
    <w:rsid w:val="003A4750"/>
    <w:rsid w:val="003B36E4"/>
    <w:rsid w:val="003F1802"/>
    <w:rsid w:val="003F717D"/>
    <w:rsid w:val="0041001B"/>
    <w:rsid w:val="004168E8"/>
    <w:rsid w:val="00420FEC"/>
    <w:rsid w:val="004225F8"/>
    <w:rsid w:val="0042546A"/>
    <w:rsid w:val="00431C31"/>
    <w:rsid w:val="0043724A"/>
    <w:rsid w:val="00462E38"/>
    <w:rsid w:val="004A3EA1"/>
    <w:rsid w:val="004C082C"/>
    <w:rsid w:val="004E1271"/>
    <w:rsid w:val="00503859"/>
    <w:rsid w:val="00507CD6"/>
    <w:rsid w:val="005113BA"/>
    <w:rsid w:val="005211BE"/>
    <w:rsid w:val="00544FD4"/>
    <w:rsid w:val="0058504B"/>
    <w:rsid w:val="0058655A"/>
    <w:rsid w:val="005A1B4F"/>
    <w:rsid w:val="005B0458"/>
    <w:rsid w:val="005B5423"/>
    <w:rsid w:val="005C35C1"/>
    <w:rsid w:val="005C51EF"/>
    <w:rsid w:val="005D19E7"/>
    <w:rsid w:val="00600604"/>
    <w:rsid w:val="00631BBB"/>
    <w:rsid w:val="00672C34"/>
    <w:rsid w:val="00686096"/>
    <w:rsid w:val="0069516D"/>
    <w:rsid w:val="006B7D06"/>
    <w:rsid w:val="006E0121"/>
    <w:rsid w:val="00743813"/>
    <w:rsid w:val="00786B94"/>
    <w:rsid w:val="007B555B"/>
    <w:rsid w:val="007E399C"/>
    <w:rsid w:val="0083774C"/>
    <w:rsid w:val="008404A1"/>
    <w:rsid w:val="00844188"/>
    <w:rsid w:val="008537C9"/>
    <w:rsid w:val="00861483"/>
    <w:rsid w:val="00872911"/>
    <w:rsid w:val="00872E11"/>
    <w:rsid w:val="00873F89"/>
    <w:rsid w:val="00881185"/>
    <w:rsid w:val="008C3C18"/>
    <w:rsid w:val="008C42BD"/>
    <w:rsid w:val="008D7724"/>
    <w:rsid w:val="008E49AA"/>
    <w:rsid w:val="008E752C"/>
    <w:rsid w:val="00906E34"/>
    <w:rsid w:val="00907190"/>
    <w:rsid w:val="00917CE5"/>
    <w:rsid w:val="0092010A"/>
    <w:rsid w:val="009342AE"/>
    <w:rsid w:val="00991031"/>
    <w:rsid w:val="009A3214"/>
    <w:rsid w:val="009A3265"/>
    <w:rsid w:val="009A78B2"/>
    <w:rsid w:val="009B4CE1"/>
    <w:rsid w:val="009C2319"/>
    <w:rsid w:val="009E0484"/>
    <w:rsid w:val="009E64BC"/>
    <w:rsid w:val="00A2790F"/>
    <w:rsid w:val="00A4354A"/>
    <w:rsid w:val="00A66C76"/>
    <w:rsid w:val="00A94403"/>
    <w:rsid w:val="00AA6F37"/>
    <w:rsid w:val="00B0112A"/>
    <w:rsid w:val="00B11468"/>
    <w:rsid w:val="00B739E5"/>
    <w:rsid w:val="00BD7B18"/>
    <w:rsid w:val="00BE0646"/>
    <w:rsid w:val="00C40483"/>
    <w:rsid w:val="00C509E6"/>
    <w:rsid w:val="00C72078"/>
    <w:rsid w:val="00C844F8"/>
    <w:rsid w:val="00C95AED"/>
    <w:rsid w:val="00C976CA"/>
    <w:rsid w:val="00CB7553"/>
    <w:rsid w:val="00CF4958"/>
    <w:rsid w:val="00D860B3"/>
    <w:rsid w:val="00DC0C6E"/>
    <w:rsid w:val="00DD4860"/>
    <w:rsid w:val="00E73E2D"/>
    <w:rsid w:val="00E74C44"/>
    <w:rsid w:val="00F42394"/>
    <w:rsid w:val="00F71826"/>
    <w:rsid w:val="00F72CBE"/>
    <w:rsid w:val="00F741B2"/>
    <w:rsid w:val="00FB79E5"/>
    <w:rsid w:val="00FC57FF"/>
    <w:rsid w:val="00FC6D9C"/>
    <w:rsid w:val="2BB71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304</Words>
  <Characters>1736</Characters>
  <Lines>14</Lines>
  <Paragraphs>4</Paragraphs>
  <TotalTime>6</TotalTime>
  <ScaleCrop>false</ScaleCrop>
  <LinksUpToDate>false</LinksUpToDate>
  <CharactersWithSpaces>2036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2020-11-02T09:23:00Z</dcterms:created>
  <dc:creator>pxb</dc:creator>
  <cp:lastModifiedBy>我是螃蟹怪</cp:lastModifiedBy>
  <cp:lastPrinted>2020-09-11T01:50:00Z</cp:lastPrinted>
  <dcterms:modified xsi:type="dcterms:W3CDTF">2023-08-14T08:28:52Z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29B3C57CC9F84BE89E877D25C7BEFFAB_12</vt:lpwstr>
  </property>
</Properties>
</file>