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0" w:line="219" w:lineRule="auto"/>
        <w:ind w:firstLine="154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spacing w:val="-5"/>
          <w:sz w:val="34"/>
          <w:szCs w:val="34"/>
        </w:rPr>
        <w:t>附件1</w:t>
      </w:r>
    </w:p>
    <w:p>
      <w:pPr>
        <w:spacing w:before="110" w:line="219" w:lineRule="auto"/>
        <w:ind w:firstLine="1879"/>
      </w:pPr>
      <w:r>
        <w:rPr>
          <w:rFonts w:ascii="宋体" w:hAnsi="宋体" w:eastAsia="宋体" w:cs="宋体"/>
          <w:spacing w:val="19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安徽省医疗服务信息社会公开内容</w:t>
      </w:r>
    </w:p>
    <w:p>
      <w:pPr>
        <w:spacing w:line="20" w:lineRule="exact"/>
      </w:pPr>
    </w:p>
    <w:tbl>
      <w:tblPr>
        <w:tblStyle w:val="4"/>
        <w:tblW w:w="929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8"/>
        <w:gridCol w:w="2950"/>
        <w:gridCol w:w="945"/>
        <w:gridCol w:w="1980"/>
        <w:gridCol w:w="15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8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219" w:lineRule="auto"/>
              <w:ind w:firstLine="4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信息分类</w:t>
            </w: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220" w:lineRule="auto"/>
              <w:ind w:firstLine="199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指标项目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219" w:lineRule="auto"/>
              <w:ind w:firstLine="11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本期数值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219" w:lineRule="auto"/>
              <w:ind w:firstLine="8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上期数值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4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11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1.基本情况</w:t>
            </w:r>
          </w:p>
        </w:tc>
        <w:tc>
          <w:tcPr>
            <w:tcW w:w="295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2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1.1重点(特色)专科</w:t>
            </w:r>
          </w:p>
        </w:tc>
        <w:tc>
          <w:tcPr>
            <w:tcW w:w="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20" w:lineRule="auto"/>
              <w:ind w:firstLine="3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国家级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0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firstLine="4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省级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0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firstLine="4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市级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7(急诊科、心内科、妇产科、重症医学科、眼科、口腔科、小儿科）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7(急诊科、心内科、妇产科、重症医学科、眼科、口腔科、小儿科）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5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20" w:lineRule="auto"/>
              <w:rPr>
                <w:rFonts w:ascii="宋体" w:hAnsi="宋体" w:eastAsia="宋体" w:cs="宋体"/>
                <w:spacing w:val="7"/>
                <w:sz w:val="25"/>
                <w:szCs w:val="25"/>
              </w:rPr>
            </w:pPr>
          </w:p>
          <w:p>
            <w:pPr>
              <w:spacing w:before="118" w:line="220" w:lineRule="auto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院级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5(泌尿科、神经内科、肿瘤内分泌科、肾内科、普内科）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5(泌尿科、神经内科、肿瘤内分泌科、肾内科、普内科）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1.2"江淮名医"人数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firstLine="101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5"/>
                <w:szCs w:val="25"/>
              </w:rPr>
              <w:t>1.3床医比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1.93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3.70:1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4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19" w:lineRule="auto"/>
              <w:ind w:firstLine="101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5"/>
                <w:szCs w:val="25"/>
              </w:rPr>
              <w:t>1.4床护比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1.86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2.68:1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4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spacing w:line="251" w:lineRule="auto"/>
              <w:rPr>
                <w:rFonts w:ascii="Arial"/>
                <w:sz w:val="21"/>
                <w:highlight w:val="none"/>
              </w:rPr>
            </w:pPr>
          </w:p>
          <w:p>
            <w:pPr>
              <w:spacing w:before="81" w:line="220" w:lineRule="auto"/>
              <w:ind w:firstLine="114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  <w:highlight w:val="none"/>
              </w:rPr>
              <w:t>2.医疗费用</w:t>
            </w: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20" w:lineRule="auto"/>
              <w:ind w:firstLine="101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  <w:highlight w:val="none"/>
              </w:rPr>
              <w:t>2.1门诊患者人均医疗费用(元)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279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269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0" w:lineRule="auto"/>
              <w:ind w:firstLine="101"/>
              <w:jc w:val="left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  <w:highlight w:val="none"/>
              </w:rPr>
              <w:t>2.2住院患者人均医疗费用(元)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3778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4335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4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19" w:lineRule="auto"/>
              <w:ind w:firstLine="81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2.3医疗机构住院患者单病种平均费用(见附件2)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5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4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82" w:line="219" w:lineRule="auto"/>
              <w:ind w:firstLine="111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5"/>
                <w:szCs w:val="25"/>
              </w:rPr>
              <w:t>2.4基本医保实际报销比例(%)</w:t>
            </w:r>
          </w:p>
        </w:tc>
        <w:tc>
          <w:tcPr>
            <w:tcW w:w="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86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5"/>
                <w:szCs w:val="25"/>
              </w:rPr>
              <w:t>城镇职工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80.54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83.57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4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5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86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5"/>
                <w:szCs w:val="25"/>
              </w:rPr>
              <w:t>城乡居民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64.07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68.43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4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2" w:line="220" w:lineRule="auto"/>
              <w:ind w:firstLine="11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3.医疗质量</w:t>
            </w: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01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5"/>
                <w:szCs w:val="25"/>
              </w:rPr>
              <w:t>3.1治愈好转率(%)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97.1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92.58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5"/>
                <w:szCs w:val="25"/>
              </w:rPr>
              <w:t>3.2手术前后诊断符合率(%)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96.96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95.65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5"/>
                <w:szCs w:val="25"/>
              </w:rPr>
              <w:t>3.3急诊抢救成功率(%)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96.47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95.32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3.4</w:t>
            </w:r>
            <w:r>
              <w:rPr>
                <w:rFonts w:ascii="宋体" w:hAnsi="宋体" w:eastAsia="宋体" w:cs="宋体"/>
                <w:spacing w:val="15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抗菌药物使用强度(DDs)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right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right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3.5</w:t>
            </w:r>
            <w:r>
              <w:rPr>
                <w:rFonts w:ascii="宋体" w:hAnsi="宋体" w:eastAsia="宋体" w:cs="宋体"/>
                <w:color w:val="auto"/>
                <w:spacing w:val="-4"/>
                <w:sz w:val="25"/>
                <w:szCs w:val="25"/>
              </w:rPr>
              <w:t>门诊输液率(%)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6.25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6.52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3.6无菌手术切口感染率(%)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3.7住院患者压疮发生率(%)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8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5"/>
                <w:szCs w:val="25"/>
              </w:rPr>
              <w:t>3.8出院患者手术占比(%)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both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15.53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ind w:firstLine="280" w:firstLineChars="100"/>
              <w:jc w:val="both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19.56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84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9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01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5"/>
                <w:szCs w:val="25"/>
              </w:rPr>
              <w:t>3.9手术患者并发症发生率(%)</w:t>
            </w:r>
          </w:p>
        </w:tc>
        <w:tc>
          <w:tcPr>
            <w:tcW w:w="19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57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</w:tr>
    </w:tbl>
    <w:p>
      <w:pPr>
        <w:spacing w:line="193" w:lineRule="exact"/>
      </w:pPr>
      <w:bookmarkStart w:id="0" w:name="_GoBack"/>
      <w:bookmarkEnd w:id="0"/>
    </w:p>
    <w:tbl>
      <w:tblPr>
        <w:tblStyle w:val="4"/>
        <w:tblW w:w="91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9"/>
        <w:gridCol w:w="12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1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4.1门诊患者平均预约诊疗率(%)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4.2门诊患者预约后平均等待时间(分钟)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4.3</w:t>
            </w:r>
            <w:r>
              <w:rPr>
                <w:rFonts w:ascii="宋体" w:hAnsi="宋体" w:eastAsia="宋体" w:cs="宋体"/>
                <w:color w:val="auto"/>
                <w:spacing w:val="-4"/>
                <w:sz w:val="25"/>
                <w:szCs w:val="25"/>
              </w:rPr>
              <w:t>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  <w:vAlign w:val="top"/>
          </w:tcPr>
          <w:p>
            <w:pPr>
              <w:spacing w:before="126" w:line="219" w:lineRule="auto"/>
              <w:ind w:firstLine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二级手术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1.8</w:t>
            </w:r>
          </w:p>
        </w:tc>
        <w:tc>
          <w:tcPr>
            <w:tcW w:w="120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  <w:vAlign w:val="top"/>
          </w:tcPr>
          <w:p>
            <w:pPr>
              <w:spacing w:before="126" w:line="219" w:lineRule="auto"/>
              <w:ind w:firstLine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三级手术</w:t>
            </w: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1.8</w:t>
            </w:r>
          </w:p>
        </w:tc>
        <w:tc>
          <w:tcPr>
            <w:tcW w:w="120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  <w:vAlign w:val="top"/>
          </w:tcPr>
          <w:p>
            <w:pPr>
              <w:spacing w:before="116" w:line="219" w:lineRule="auto"/>
              <w:ind w:firstLine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四级手术</w:t>
            </w: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1.8</w:t>
            </w:r>
          </w:p>
        </w:tc>
        <w:tc>
          <w:tcPr>
            <w:tcW w:w="120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  <w:highlight w:val="none"/>
              </w:rPr>
              <w:t>4.4病床使用率(%)</w:t>
            </w:r>
          </w:p>
        </w:tc>
        <w:tc>
          <w:tcPr>
            <w:tcW w:w="1229" w:type="dxa"/>
            <w:tcBorders>
              <w:top w:val="single" w:color="auto" w:sz="4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63.56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71.65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0" w:lineRule="auto"/>
              <w:ind w:firstLine="111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  <w:highlight w:val="none"/>
              </w:rPr>
              <w:t>4.5出院者平均住院日(天)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5.92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6.9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  <w:highlight w:val="none"/>
              </w:rPr>
              <w:t>4.6门诊人次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70371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64234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  <w:highlight w:val="none"/>
              </w:rPr>
              <w:t>4.7出院人次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4791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4265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firstLine="11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5"/>
                <w:szCs w:val="25"/>
              </w:rPr>
              <w:t>总体满意度(%)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97.15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Arial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97.26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firstLine="1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6.服务承诺</w:t>
            </w:r>
          </w:p>
        </w:tc>
        <w:tc>
          <w:tcPr>
            <w:tcW w:w="734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19" w:lineRule="auto"/>
              <w:ind w:firstLine="15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医疗机构服务承诺内容(见附件3'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  <w:r>
        <w:rPr>
          <w:rFonts w:hint="eastAsia"/>
          <w:sz w:val="24"/>
          <w:szCs w:val="24"/>
          <w:lang w:val="en-US" w:eastAsia="zh-CN"/>
        </w:rPr>
        <w:t>审核人：李文侠                                          填报人：</w:t>
      </w:r>
      <w:r>
        <w:rPr>
          <w:rFonts w:hint="eastAsia" w:eastAsia="宋体"/>
          <w:sz w:val="24"/>
          <w:szCs w:val="24"/>
          <w:lang w:val="en-US" w:eastAsia="zh-CN"/>
        </w:rPr>
        <w:t>林小东</w:t>
      </w:r>
    </w:p>
    <w:p/>
    <w:p/>
    <w:p/>
    <w:p/>
    <w:p/>
    <w:p/>
    <w:p/>
    <w:p/>
    <w:p/>
    <w:p/>
    <w:p/>
    <w:p/>
    <w:p/>
    <w:p/>
    <w:p/>
    <w:p>
      <w:pPr>
        <w:widowControl/>
        <w:spacing w:line="450" w:lineRule="atLeast"/>
        <w:jc w:val="both"/>
        <w:rPr>
          <w:rFonts w:ascii="宋体" w:hAnsi="宋体" w:cs="宋体"/>
          <w:b/>
          <w:color w:val="555555"/>
          <w:kern w:val="0"/>
          <w:sz w:val="32"/>
          <w:szCs w:val="32"/>
        </w:rPr>
      </w:pPr>
      <w:r>
        <w:rPr>
          <w:rFonts w:ascii="宋体" w:hAnsi="宋体" w:cs="宋体"/>
          <w:b/>
          <w:color w:val="555555"/>
          <w:kern w:val="0"/>
          <w:sz w:val="24"/>
          <w:szCs w:val="24"/>
        </w:rPr>
        <w:t>附件2</w:t>
      </w:r>
      <w:r>
        <w:rPr>
          <w:rFonts w:hint="eastAsia" w:ascii="宋体" w:hAnsi="宋体" w:eastAsia="宋体" w:cs="宋体"/>
          <w:b/>
          <w:color w:val="555555"/>
          <w:kern w:val="0"/>
          <w:sz w:val="24"/>
          <w:szCs w:val="24"/>
          <w:lang w:val="en-US" w:eastAsia="zh-CN"/>
        </w:rPr>
        <w:t xml:space="preserve">             </w:t>
      </w:r>
      <w:r>
        <w:rPr>
          <w:rFonts w:ascii="宋体" w:hAnsi="宋体" w:cs="宋体"/>
          <w:b/>
          <w:color w:val="555555"/>
          <w:kern w:val="0"/>
          <w:sz w:val="32"/>
          <w:szCs w:val="32"/>
        </w:rPr>
        <w:t>医疗机构住院患者单病种平均费用</w:t>
      </w:r>
    </w:p>
    <w:tbl>
      <w:tblPr>
        <w:tblStyle w:val="2"/>
        <w:tblW w:w="8780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3139"/>
        <w:gridCol w:w="1744"/>
        <w:gridCol w:w="1200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780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住院患者前20位单病种平均费用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疾病名称 （按ICD-10编码分类）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术式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本期平均费用（元）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上期平均费用（元）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脑梗死（急性期）（诊断组）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I63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5972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冠心病(诊断组)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I25.103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4027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I型/Ⅱ型糖尿病（诊断组）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E10.0-E11.9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3970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白内障(诊断组)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H25.0-H26.9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4109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慢性支气管炎（诊断组）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J42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3366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腹股沟疝(诊断组)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K40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/>
              </w:rPr>
              <w:t>5585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/>
              </w:rPr>
              <w:t>6004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i w:val="0"/>
                <w:i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阑尾炎(诊断组)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/>
              </w:rPr>
              <w:t>K35/K36/K37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/>
              </w:rPr>
              <w:t>5082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/>
              </w:rPr>
              <w:t>4864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慢性阻塞性肺疾病（诊断组）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J44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4006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胆囊炎/胆囊结石（诊断组）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K80.0-K80.2/K80.4/K81.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5628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6066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肺炎（诊断组）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J10.0-J18.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2669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原发性高血压（诊断组）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I10.x09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2338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2452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下肢静脉曲张（诊断组）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I83.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5009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痔（诊断组）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I84.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2551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4765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前列腺增生(诊断组)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N40.x00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6493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7091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脑出血（急性期）（诊断组）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I61.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13031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甲状腺良性包块（诊断组）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D34.x00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8954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9691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颈椎病（诊断组）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M47.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2430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3792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肛周疾病（诊断组）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K60.-K62.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4733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扁桃体腺样体肥大（诊断组）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J35.300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4661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5892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轻症急性胰腺炎（诊断组）</w:t>
            </w:r>
          </w:p>
        </w:tc>
        <w:tc>
          <w:tcPr>
            <w:tcW w:w="174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K85.001/.101/.201/.301/.800X11/.800X12/.800X014/.800X015/.800X016/.800X20/.801/.802/.803/.807/.808/.809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4819</w:t>
            </w:r>
          </w:p>
        </w:tc>
        <w:tc>
          <w:tcPr>
            <w:tcW w:w="21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5325</w:t>
            </w:r>
          </w:p>
        </w:tc>
      </w:tr>
    </w:tbl>
    <w:p/>
    <w:p/>
    <w:p/>
    <w:p/>
    <w:p/>
    <w:p/>
    <w:p/>
    <w:p/>
    <w:p/>
    <w:p/>
    <w:p>
      <w:pPr>
        <w:widowControl/>
        <w:jc w:val="left"/>
        <w:rPr>
          <w:rFonts w:ascii="宋体" w:hAnsi="宋体" w:cs="宋体"/>
          <w:kern w:val="0"/>
          <w:sz w:val="30"/>
          <w:szCs w:val="30"/>
        </w:rPr>
      </w:pPr>
      <w:r>
        <w:rPr>
          <w:rFonts w:ascii="宋体" w:hAnsi="宋体" w:cs="宋体"/>
          <w:b/>
          <w:bCs/>
          <w:kern w:val="0"/>
          <w:sz w:val="30"/>
          <w:szCs w:val="30"/>
        </w:rPr>
        <w:t>附件3             医疗机构服务承诺内容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2"/>
        <w:tblW w:w="92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82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32"/>
                <w:szCs w:val="32"/>
              </w:rPr>
              <w:t>序号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32"/>
                <w:szCs w:val="32"/>
              </w:rPr>
              <w:t>承诺服务内容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both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认真执行首诊负责制，文明接诊，礼貌待人，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杜绝生、冷、硬、顶、推</w:t>
            </w: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，实行无假日医院。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both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严格执行《安徽省医疗机构收费项目及收费标准》，实施医疗收费价格公开、门诊收费清单和住院收费日清单制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both"/>
              <w:textAlignment w:val="baseline"/>
              <w:rPr>
                <w:rFonts w:hint="eastAsia"/>
                <w:color w:val="000000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严格执行药品、耗材政府集中招标采购制度，并按规定使用中标药品、耗材等；所有药品实行零差率销售。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both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严禁医务人员接受医疗设备、药品等生产、销售企业或代理推销人员以各种名义、形式给予的回扣、提成和其它不正当利益。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both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廉洁行医，拒绝接受患者及其亲友馈赠的“红包”、物品。对患者馈赠的钱物当时难以拒绝的，于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/>
              </w:rPr>
              <w:t>24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小时内上交院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医务股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，由院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医务股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负责退还。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both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根据患者病情，规范开药、合理检查、合理用药、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合理住院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，不开大处方，不做不必要的检查。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both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加强医德医风教育与考评，构建和谐医患关系。为患者提供人性化服务，公开医疗纠纷和行风投诉电话，并承诺投诉将于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个工作日内予以答复。</w:t>
            </w:r>
          </w:p>
        </w:tc>
      </w:tr>
    </w:tbl>
    <w:p>
      <w:pPr>
        <w:jc w:val="center"/>
        <w:rPr>
          <w:rFonts w:hint="eastAsia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ZmUxNTFiZTFlNDc2MzViNmM2Y2FmN2U2Y2FkYTEifQ=="/>
    <w:docVar w:name="KSO_WPS_MARK_KEY" w:val="860f5f7e-e3db-4d05-abe8-be51f051147d"/>
  </w:docVars>
  <w:rsids>
    <w:rsidRoot w:val="00000000"/>
    <w:rsid w:val="013E2808"/>
    <w:rsid w:val="05671807"/>
    <w:rsid w:val="06600A89"/>
    <w:rsid w:val="08DE15DA"/>
    <w:rsid w:val="0B33611E"/>
    <w:rsid w:val="0ED955F6"/>
    <w:rsid w:val="18054F03"/>
    <w:rsid w:val="1F670D3D"/>
    <w:rsid w:val="209F601A"/>
    <w:rsid w:val="214B55AA"/>
    <w:rsid w:val="25A6466E"/>
    <w:rsid w:val="277370A7"/>
    <w:rsid w:val="2F2033DA"/>
    <w:rsid w:val="30EC0F02"/>
    <w:rsid w:val="359317A2"/>
    <w:rsid w:val="3777EDFD"/>
    <w:rsid w:val="38CA4054"/>
    <w:rsid w:val="3AE147B6"/>
    <w:rsid w:val="3C1333E8"/>
    <w:rsid w:val="40513133"/>
    <w:rsid w:val="44C52841"/>
    <w:rsid w:val="450A2CF1"/>
    <w:rsid w:val="4751765F"/>
    <w:rsid w:val="49672DF7"/>
    <w:rsid w:val="4A38608A"/>
    <w:rsid w:val="4CCD6A17"/>
    <w:rsid w:val="4E446230"/>
    <w:rsid w:val="4F63023B"/>
    <w:rsid w:val="51EC7175"/>
    <w:rsid w:val="55174ED1"/>
    <w:rsid w:val="56D65BD2"/>
    <w:rsid w:val="57940683"/>
    <w:rsid w:val="5AD93B5F"/>
    <w:rsid w:val="5ADE5565"/>
    <w:rsid w:val="5F221C3A"/>
    <w:rsid w:val="68C90AEF"/>
    <w:rsid w:val="6A006FB9"/>
    <w:rsid w:val="6A3D7ED8"/>
    <w:rsid w:val="6AA32BBB"/>
    <w:rsid w:val="6CBF1FF6"/>
    <w:rsid w:val="6FFB1FD5"/>
    <w:rsid w:val="71377199"/>
    <w:rsid w:val="737E3665"/>
    <w:rsid w:val="74231646"/>
    <w:rsid w:val="76784D93"/>
    <w:rsid w:val="77854C88"/>
    <w:rsid w:val="7842270B"/>
    <w:rsid w:val="7C157428"/>
    <w:rsid w:val="BED3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536</Words>
  <Characters>737</Characters>
  <Lines>0</Lines>
  <Paragraphs>0</Paragraphs>
  <TotalTime>8</TotalTime>
  <ScaleCrop>false</ScaleCrop>
  <LinksUpToDate>false</LinksUpToDate>
  <CharactersWithSpaces>780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HNSW</cp:lastModifiedBy>
  <dcterms:modified xsi:type="dcterms:W3CDTF">2025-04-18T10:15:47Z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8C86E4F6FF044348BEDD7729A830EAE2_13</vt:lpwstr>
  </property>
  <property fmtid="{D5CDD505-2E9C-101B-9397-08002B2CF9AE}" pid="4" name="KSOTemplateDocerSaveRecord">
    <vt:lpwstr>eyJoZGlkIjoiNzBhNDVmZjJkOTJjNWExY2UwYWNjODBmNzViOGExZmIifQ==</vt:lpwstr>
  </property>
</Properties>
</file>